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D67F6" w14:textId="4D94891F" w:rsidR="007C2A5A" w:rsidRPr="007C2A5A" w:rsidRDefault="007C2A5A" w:rsidP="007C2A5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14:paraId="3FBFCAF7" w14:textId="77777777" w:rsidR="007C2A5A" w:rsidRDefault="007C2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8C926F" w14:textId="14BA0789" w:rsidR="00D3397E" w:rsidRDefault="00A24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предоставления информации об исполнении регионального проекта</w:t>
      </w:r>
    </w:p>
    <w:p w14:paraId="1DDA7681" w14:textId="77777777" w:rsidR="00D3397E" w:rsidRDefault="00A24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«Формирование отрицательного отношения к коррупции»</w:t>
      </w:r>
    </w:p>
    <w:p w14:paraId="610105F5" w14:textId="77777777" w:rsidR="00D3397E" w:rsidRDefault="00D339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647"/>
        <w:gridCol w:w="7825"/>
        <w:gridCol w:w="2341"/>
        <w:gridCol w:w="5030"/>
      </w:tblGrid>
      <w:tr w:rsidR="00D3397E" w14:paraId="350AB204" w14:textId="77777777" w:rsidTr="00545198"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72B3" w14:textId="77777777" w:rsidR="00D3397E" w:rsidRDefault="00A242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93300A" w14:textId="77777777" w:rsidR="00D3397E" w:rsidRDefault="00A242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6E8F1" w14:textId="77777777" w:rsidR="00D3397E" w:rsidRDefault="00A2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5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434263" w14:textId="77777777" w:rsidR="00D3397E" w:rsidRDefault="00A2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14:paraId="4156ABD4" w14:textId="77777777" w:rsidR="00D3397E" w:rsidRDefault="00A2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 w:rsidR="00D3397E" w14:paraId="40BDAB93" w14:textId="77777777" w:rsidTr="00545198"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20A9" w14:textId="77777777" w:rsidR="00D3397E" w:rsidRDefault="00D339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5DF219" w14:textId="77777777" w:rsidR="00D3397E" w:rsidRDefault="00D339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D88E9" w14:textId="77777777" w:rsidR="00D3397E" w:rsidRDefault="00D339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1A5F0F" w14:textId="77777777" w:rsidR="00D3397E" w:rsidRDefault="00D339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6BFA2C" w14:textId="77777777" w:rsidR="00D3397E" w:rsidRDefault="00D3397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647"/>
        <w:gridCol w:w="7825"/>
        <w:gridCol w:w="2341"/>
        <w:gridCol w:w="5030"/>
      </w:tblGrid>
      <w:tr w:rsidR="00D3397E" w14:paraId="4C4E8AFB" w14:textId="77777777" w:rsidTr="00545198"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46AC" w14:textId="77777777" w:rsidR="00D3397E" w:rsidRDefault="00A2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0269" w14:textId="77777777" w:rsidR="00D3397E" w:rsidRDefault="00A2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4C63" w14:textId="77777777" w:rsidR="00D3397E" w:rsidRDefault="00A2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4E6D" w14:textId="77777777" w:rsidR="00D3397E" w:rsidRDefault="00A2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3397E" w14:paraId="54A07050" w14:textId="77777777" w:rsidTr="00545198">
        <w:trPr>
          <w:trHeight w:val="343"/>
        </w:trPr>
        <w:tc>
          <w:tcPr>
            <w:tcW w:w="15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A1C9" w14:textId="77777777" w:rsidR="00D3397E" w:rsidRDefault="00D3397E"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E99DB8" w14:textId="77777777" w:rsidR="00D3397E" w:rsidRDefault="00A2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/>
                <w:sz w:val="24"/>
                <w:szCs w:val="24"/>
              </w:rPr>
              <w:t>Оценка состояния коррупции в Республике Татарстан</w:t>
            </w:r>
          </w:p>
          <w:p w14:paraId="5B5485DE" w14:textId="77777777" w:rsidR="00D3397E" w:rsidRDefault="00D3397E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397E" w14:paraId="281DD7B3" w14:textId="77777777" w:rsidTr="00545198">
        <w:trPr>
          <w:trHeight w:val="10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7EA9" w14:textId="77777777" w:rsidR="00D3397E" w:rsidRDefault="00A2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EBD2" w14:textId="77777777" w:rsidR="00D3397E" w:rsidRDefault="00A242D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1.3. Проведение отраслевых исследований коррупционных факторов и реализуемых антикоррупционных мер среди целевых групп и опубликованы результаты указанных исследований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8346" w14:textId="77777777" w:rsidR="00D3397E" w:rsidRDefault="00A242D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7AF6" w14:textId="77777777" w:rsidR="00D3397E" w:rsidRDefault="002745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период проводились социологические опросы по изучению мнения населения о коррупции. Итоги проведенных социологических опросов размещены на официальном сайте Нижнекамского муниципального района (</w:t>
            </w:r>
            <w:hyperlink r:id="rId7" w:history="1">
              <w:r w:rsidRPr="002158AB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2158AB">
                <w:rPr>
                  <w:rStyle w:val="af"/>
                  <w:rFonts w:ascii="Times New Roman" w:hAnsi="Times New Roman"/>
                  <w:sz w:val="24"/>
                  <w:szCs w:val="24"/>
                </w:rPr>
                <w:t>.</w:t>
              </w:r>
              <w:r w:rsidRPr="002158AB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2158AB">
                <w:rPr>
                  <w:rStyle w:val="af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2158AB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nkama</w:t>
              </w:r>
              <w:proofErr w:type="spellEnd"/>
              <w:r w:rsidRPr="002158AB">
                <w:rPr>
                  <w:rStyle w:val="af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2158AB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>) в разделе «Противодействие коррупции».</w:t>
            </w:r>
          </w:p>
          <w:p w14:paraId="7333DFCE" w14:textId="029811FA" w:rsidR="002745E7" w:rsidRDefault="002745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DE9">
              <w:rPr>
                <w:rFonts w:ascii="Times New Roman" w:hAnsi="Times New Roman"/>
                <w:sz w:val="24"/>
                <w:szCs w:val="24"/>
                <w:u w:val="single"/>
              </w:rPr>
              <w:t>(Выполнение индикаторов -100%)</w:t>
            </w:r>
          </w:p>
        </w:tc>
      </w:tr>
      <w:tr w:rsidR="00D3397E" w14:paraId="0D841626" w14:textId="77777777" w:rsidTr="00545198">
        <w:trPr>
          <w:trHeight w:val="470"/>
        </w:trPr>
        <w:tc>
          <w:tcPr>
            <w:tcW w:w="15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BD3B" w14:textId="77777777" w:rsidR="00D3397E" w:rsidRDefault="00D3397E"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B033AF" w14:textId="77777777" w:rsidR="00D3397E" w:rsidRDefault="00A242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 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</w:t>
            </w:r>
          </w:p>
          <w:p w14:paraId="64BBA3B4" w14:textId="77777777" w:rsidR="00D3397E" w:rsidRDefault="00D3397E">
            <w:pPr>
              <w:widowControl w:val="0"/>
              <w:spacing w:after="0" w:line="12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397E" w14:paraId="3EBA4FC0" w14:textId="77777777" w:rsidTr="00545198">
        <w:trPr>
          <w:trHeight w:val="8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568C" w14:textId="77777777" w:rsidR="00D3397E" w:rsidRDefault="00A2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E8D1" w14:textId="77777777" w:rsidR="00D3397E" w:rsidRDefault="00A242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Размещение проектов разработанных нормативных правовых актов на официальном сайте, созданном для размещения информации о подготовке органами государственной власти Республики Татарстан проектов нормативных правовых актов и результатах их общественного обсуждения </w:t>
            </w:r>
            <w:hyperlink r:id="rId8" w:tgtFrame="_blank">
              <w:r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http://tatarstan.ru/regulation</w:t>
              </w:r>
            </w:hyperlink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56FF" w14:textId="77777777" w:rsidR="00D3397E" w:rsidRDefault="00A242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юстиции Республики Татарстан, 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0C70" w14:textId="77777777" w:rsidR="00D3397E" w:rsidRDefault="00F628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87C">
              <w:rPr>
                <w:rFonts w:ascii="Times New Roman" w:hAnsi="Times New Roman"/>
                <w:sz w:val="24"/>
                <w:szCs w:val="24"/>
              </w:rPr>
              <w:t xml:space="preserve">В I квартале 2024 года в подразделе, посвященном вопросам проведения антикоррупционной экспертизы нормативных правовых актов и проектов нормативных правовых актов, раздела </w:t>
            </w:r>
            <w:r w:rsidR="002745E7">
              <w:rPr>
                <w:rFonts w:ascii="Times New Roman" w:hAnsi="Times New Roman"/>
                <w:sz w:val="24"/>
                <w:szCs w:val="24"/>
              </w:rPr>
              <w:t>«</w:t>
            </w:r>
            <w:r w:rsidRPr="00F6287C">
              <w:rPr>
                <w:rFonts w:ascii="Times New Roman" w:hAnsi="Times New Roman"/>
                <w:sz w:val="24"/>
                <w:szCs w:val="24"/>
              </w:rPr>
              <w:t>Противодействие коррупции</w:t>
            </w:r>
            <w:r w:rsidR="002745E7">
              <w:rPr>
                <w:rFonts w:ascii="Times New Roman" w:hAnsi="Times New Roman"/>
                <w:sz w:val="24"/>
                <w:szCs w:val="24"/>
              </w:rPr>
              <w:t>»</w:t>
            </w:r>
            <w:r w:rsidRPr="00F6287C">
              <w:rPr>
                <w:rFonts w:ascii="Times New Roman" w:hAnsi="Times New Roman"/>
                <w:sz w:val="24"/>
                <w:szCs w:val="24"/>
              </w:rPr>
              <w:t xml:space="preserve"> на портале Правительства Республики Татарстан размещено 11 проектов муниципальных нормативных правовых актов в целях проведения независимой антикоррупционной экспертизы.</w:t>
            </w:r>
          </w:p>
          <w:p w14:paraId="54042989" w14:textId="7712F78E" w:rsidR="002745E7" w:rsidRPr="00F6287C" w:rsidRDefault="002745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DE9">
              <w:rPr>
                <w:rFonts w:ascii="Times New Roman" w:hAnsi="Times New Roman"/>
                <w:sz w:val="24"/>
                <w:szCs w:val="24"/>
                <w:u w:val="single"/>
              </w:rPr>
              <w:t>(Выполнение индикаторов -100%)</w:t>
            </w:r>
          </w:p>
        </w:tc>
      </w:tr>
    </w:tbl>
    <w:p w14:paraId="0C925C09" w14:textId="77777777" w:rsidR="00D3397E" w:rsidRDefault="00D339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934A19" w14:textId="77777777" w:rsidR="00D3397E" w:rsidRDefault="00D339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48F837EA" w14:textId="77777777" w:rsidR="00D3397E" w:rsidRDefault="00A24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Форма предоставления информации об исполнении комплекса процессных мероприятий </w:t>
      </w:r>
    </w:p>
    <w:p w14:paraId="7585F461" w14:textId="77777777" w:rsidR="00D3397E" w:rsidRDefault="00A242D2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b/>
          <w:sz w:val="28"/>
          <w:szCs w:val="28"/>
        </w:rPr>
        <w:t>«Совершенствование антикоррупционной политики Республики Татарстан»</w:t>
      </w:r>
    </w:p>
    <w:p w14:paraId="2EFD2E6B" w14:textId="77777777" w:rsidR="00D3397E" w:rsidRDefault="00D3397E">
      <w:pPr>
        <w:widowControl w:val="0"/>
        <w:spacing w:after="0" w:line="240" w:lineRule="auto"/>
        <w:rPr>
          <w:rFonts w:ascii="Times New Roman" w:hAnsi="Times New Roman"/>
          <w:sz w:val="8"/>
          <w:szCs w:val="8"/>
        </w:rPr>
      </w:pPr>
    </w:p>
    <w:p w14:paraId="41EA780B" w14:textId="77777777" w:rsidR="00D3397E" w:rsidRDefault="00D339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984" w:type="dxa"/>
        <w:tblLayout w:type="fixed"/>
        <w:tblLook w:val="0000" w:firstRow="0" w:lastRow="0" w:firstColumn="0" w:lastColumn="0" w:noHBand="0" w:noVBand="0"/>
      </w:tblPr>
      <w:tblGrid>
        <w:gridCol w:w="647"/>
        <w:gridCol w:w="7258"/>
        <w:gridCol w:w="2341"/>
        <w:gridCol w:w="5738"/>
      </w:tblGrid>
      <w:tr w:rsidR="00D3397E" w14:paraId="77068EAC" w14:textId="77777777" w:rsidTr="00534E3F"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082C" w14:textId="77777777" w:rsidR="00D3397E" w:rsidRDefault="00A242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A27971" w14:textId="77777777" w:rsidR="00D3397E" w:rsidRDefault="00A242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9CEC0" w14:textId="77777777" w:rsidR="00D3397E" w:rsidRDefault="00A2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5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1D6868" w14:textId="77777777" w:rsidR="00D3397E" w:rsidRDefault="00A2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14:paraId="5F3B0A49" w14:textId="77777777" w:rsidR="00D3397E" w:rsidRDefault="00A2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 w:rsidR="00D3397E" w14:paraId="4F634911" w14:textId="77777777" w:rsidTr="00534E3F"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5BDD" w14:textId="77777777" w:rsidR="00D3397E" w:rsidRDefault="00D339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CFF07" w14:textId="77777777" w:rsidR="00D3397E" w:rsidRDefault="00D339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50B644" w14:textId="77777777" w:rsidR="00D3397E" w:rsidRDefault="00D339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6D18F6" w14:textId="77777777" w:rsidR="00D3397E" w:rsidRDefault="00D339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F6F7C1" w14:textId="77777777" w:rsidR="00D3397E" w:rsidRDefault="00D3397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984" w:type="dxa"/>
        <w:tblLayout w:type="fixed"/>
        <w:tblLook w:val="0000" w:firstRow="0" w:lastRow="0" w:firstColumn="0" w:lastColumn="0" w:noHBand="0" w:noVBand="0"/>
      </w:tblPr>
      <w:tblGrid>
        <w:gridCol w:w="647"/>
        <w:gridCol w:w="7258"/>
        <w:gridCol w:w="2341"/>
        <w:gridCol w:w="5738"/>
      </w:tblGrid>
      <w:tr w:rsidR="00D3397E" w14:paraId="012AE5CF" w14:textId="77777777" w:rsidTr="00534E3F"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424" w14:textId="77777777" w:rsidR="00D3397E" w:rsidRDefault="00A2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586E" w14:textId="77777777" w:rsidR="00D3397E" w:rsidRDefault="00A2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3526" w14:textId="77777777" w:rsidR="00D3397E" w:rsidRDefault="00A2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CDB1" w14:textId="77777777" w:rsidR="00D3397E" w:rsidRDefault="00A2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3397E" w14:paraId="4A130AA9" w14:textId="77777777" w:rsidTr="00534E3F">
        <w:trPr>
          <w:trHeight w:val="343"/>
        </w:trPr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D5E4" w14:textId="77777777" w:rsidR="00D3397E" w:rsidRDefault="00D3397E"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2085A9" w14:textId="77777777" w:rsidR="00D3397E" w:rsidRDefault="00A2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/>
                <w:sz w:val="24"/>
                <w:szCs w:val="24"/>
              </w:rPr>
              <w:t>Оценка состояния коррупции в Республике Татарстан</w:t>
            </w:r>
          </w:p>
          <w:p w14:paraId="2BB49709" w14:textId="77777777" w:rsidR="00D3397E" w:rsidRDefault="00D3397E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397E" w14:paraId="69F7A1DF" w14:textId="77777777" w:rsidTr="00534E3F">
        <w:trPr>
          <w:trHeight w:val="10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DFCB" w14:textId="77777777" w:rsidR="00D3397E" w:rsidRDefault="00A2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45E3" w14:textId="77777777" w:rsidR="00D3397E" w:rsidRDefault="00A242D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1.1. Разработка и актуализация нормативных правовых актов о противодействии коррупции во исполнение федерального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F8D3" w14:textId="77777777" w:rsidR="00D3397E" w:rsidRDefault="00A242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D37A" w14:textId="77777777" w:rsidR="00422612" w:rsidRDefault="00422612" w:rsidP="00422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20C90">
              <w:rPr>
                <w:rFonts w:ascii="Times New Roman" w:hAnsi="Times New Roman"/>
                <w:sz w:val="24"/>
                <w:szCs w:val="24"/>
              </w:rPr>
              <w:t xml:space="preserve">о исполнение федерального законодательства и на основе обобщения практики применения действующих антикоррупционных норм в Республике Татарстан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2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612">
              <w:rPr>
                <w:rFonts w:ascii="Times New Roman" w:hAnsi="Times New Roman"/>
                <w:sz w:val="24"/>
                <w:szCs w:val="24"/>
              </w:rPr>
              <w:t>I</w:t>
            </w:r>
            <w:r w:rsidRPr="00A4763B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763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476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 органами местного са</w:t>
            </w:r>
            <w:r w:rsidRPr="00C20C90">
              <w:rPr>
                <w:rFonts w:ascii="Times New Roman" w:hAnsi="Times New Roman"/>
                <w:sz w:val="24"/>
                <w:szCs w:val="24"/>
              </w:rPr>
              <w:t xml:space="preserve">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Нижнекамского муниципального района и города Нижнекамска </w:t>
            </w:r>
            <w:r w:rsidRPr="00C20C90">
              <w:rPr>
                <w:rFonts w:ascii="Times New Roman" w:hAnsi="Times New Roman"/>
                <w:sz w:val="24"/>
                <w:szCs w:val="24"/>
              </w:rPr>
              <w:t xml:space="preserve">приняты следующие </w:t>
            </w:r>
            <w:r w:rsidRPr="00140370">
              <w:rPr>
                <w:rFonts w:ascii="Times New Roman" w:hAnsi="Times New Roman"/>
                <w:sz w:val="24"/>
                <w:szCs w:val="24"/>
              </w:rPr>
              <w:t>муниципальные правовые акты, касающиеся противодействия коррупции:</w:t>
            </w:r>
          </w:p>
          <w:p w14:paraId="5C549502" w14:textId="77777777" w:rsidR="00422612" w:rsidRPr="00422612" w:rsidRDefault="00422612" w:rsidP="00422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612">
              <w:rPr>
                <w:rFonts w:ascii="Times New Roman" w:hAnsi="Times New Roman"/>
                <w:sz w:val="24"/>
                <w:szCs w:val="24"/>
              </w:rPr>
              <w:t>- распоряжение Исполнительного комитета Нижнекамского муниципального района от 12.02.2024 г. № 49 «О закреплении ответственных за предоставление сведений о доходах и расходах, об имуществе и обязательствах имущественного характера»;</w:t>
            </w:r>
          </w:p>
          <w:p w14:paraId="3D76987D" w14:textId="77777777" w:rsidR="00D3397E" w:rsidRDefault="00422612" w:rsidP="00422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612">
              <w:rPr>
                <w:rFonts w:ascii="Times New Roman" w:hAnsi="Times New Roman"/>
                <w:sz w:val="24"/>
                <w:szCs w:val="24"/>
              </w:rPr>
              <w:t>- распоряжение Исполнительного комитета города Нижнекамска от 12.03.2024 г. № 67 «О закреплении ответственных за предоставление сведений о доходах и расходах, об имуществе и обязательствах имущественного характера».</w:t>
            </w:r>
          </w:p>
          <w:p w14:paraId="20048F3C" w14:textId="09C4BDF8" w:rsidR="002745E7" w:rsidRPr="00E07F0C" w:rsidRDefault="002745E7" w:rsidP="00422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DE9">
              <w:rPr>
                <w:rFonts w:ascii="Times New Roman" w:hAnsi="Times New Roman"/>
                <w:sz w:val="24"/>
                <w:szCs w:val="24"/>
                <w:u w:val="single"/>
              </w:rPr>
              <w:t>(Выполнение индикаторов -100%)</w:t>
            </w:r>
          </w:p>
        </w:tc>
      </w:tr>
      <w:tr w:rsidR="00D3397E" w14:paraId="350E2BCF" w14:textId="77777777" w:rsidTr="00534E3F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E73D" w14:textId="77777777" w:rsidR="00D3397E" w:rsidRDefault="00A242D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F956" w14:textId="77777777" w:rsidR="00D3397E" w:rsidRDefault="00A242D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Обеспечение действенного функционирования подразделений органов публичной власти в Республике Татарстан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 (с освобождением от иных функций, не относящихся к антикоррупционной работе))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 </w:t>
            </w:r>
            <w:hyperlink r:id="rId9" w:anchor="/document/196300/entry/0" w:history="1">
              <w:r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Указом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 Президента Российской Федерации № 1065 и </w:t>
            </w:r>
            <w:hyperlink r:id="rId10" w:anchor="/document/8166002/entry/0" w:history="1">
              <w:r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Указом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 Президента Республики Татарстан № УП-711, соблюдение принципа стабильности кадров, осуществляющих вышеуказанные функции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1A7B" w14:textId="77777777" w:rsidR="00D3397E" w:rsidRDefault="00A242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5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F3FD" w14:textId="77777777" w:rsidR="00D3397E" w:rsidRDefault="003852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26C">
              <w:rPr>
                <w:rFonts w:ascii="Times New Roman" w:hAnsi="Times New Roman"/>
                <w:sz w:val="24"/>
                <w:szCs w:val="24"/>
              </w:rPr>
              <w:t xml:space="preserve">Распоряжением Главы Нижнекамского муниципального района №387 от 08.12.2020 года ответственным лицом за профилактику коррупционных и иных правонарушений среди муниципальных служащих Нижнекамского муниципального района, в соответствии с функциями, возложенными Указом Президента </w:t>
            </w:r>
            <w:r w:rsidRPr="0038526C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от 21.09.2009 №1065, назначен начальник отдела кадровой политики и управления персоналом Совета Нижнекамского муниципального района РТ</w:t>
            </w:r>
          </w:p>
          <w:p w14:paraId="2E3EAA0B" w14:textId="71EDF76A" w:rsidR="002745E7" w:rsidRPr="0038526C" w:rsidRDefault="002745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45">
              <w:rPr>
                <w:rFonts w:ascii="Times New Roman" w:hAnsi="Times New Roman"/>
                <w:sz w:val="24"/>
                <w:szCs w:val="24"/>
                <w:u w:val="single"/>
              </w:rPr>
              <w:t>(Выполнение индикаторов -100%)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</w:tr>
      <w:tr w:rsidR="00D3397E" w14:paraId="5231A385" w14:textId="77777777" w:rsidTr="00534E3F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666F" w14:textId="77777777" w:rsidR="00D3397E" w:rsidRDefault="00A242D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A00B" w14:textId="77777777" w:rsidR="00D3397E" w:rsidRDefault="00A242D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1.3. Оценка коррупционных рисков, возникающих при реализации государственными гражданскими служащими Республики Татарстан, муниципальными служащими в Республике Татарстан функций, и внесение (при необходимости) уточнения в перечень должностей государственной гражданской службы Республики Татарстан, муниципальной службы в Республике Татарстан, замещение которых связано с коррупционными рисками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993F" w14:textId="77777777" w:rsidR="00D3397E" w:rsidRDefault="00A242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5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A174" w14:textId="77777777" w:rsidR="006748FD" w:rsidRDefault="006748FD" w:rsidP="006748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исполнение решения Совета Нижнекамского муниципального района от 18.12.2014 №43, решения Нижнекамского городского Совета от 30.10.2014 №29, распоряжения Руководителя Исполнительного комитета Нижнекамского муниципального района РТ от 20.01.2015 №15 установлены Перечни муниципальных должностей муниципальной службы в Нижнекамском муниципальном районе и городе Нижнекамске, замещение которых связано с коррупционными рисками.</w:t>
            </w:r>
          </w:p>
          <w:p w14:paraId="1758B3F7" w14:textId="77777777" w:rsidR="00D3397E" w:rsidRDefault="006748FD" w:rsidP="00064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изменением структуры данные перечни периодически обновляются.</w:t>
            </w:r>
            <w:r w:rsidR="00064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8FD">
              <w:rPr>
                <w:rFonts w:ascii="Times New Roman" w:hAnsi="Times New Roman"/>
                <w:sz w:val="24"/>
                <w:szCs w:val="24"/>
              </w:rPr>
              <w:t>В отчетном периоде изменения не вносились.</w:t>
            </w:r>
          </w:p>
          <w:p w14:paraId="4680B1CB" w14:textId="3C89D45A" w:rsidR="00064611" w:rsidRPr="006748FD" w:rsidRDefault="00064611" w:rsidP="00064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81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7648E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01B81">
              <w:rPr>
                <w:rFonts w:ascii="Times New Roman" w:hAnsi="Times New Roman"/>
                <w:sz w:val="24"/>
                <w:szCs w:val="24"/>
                <w:u w:val="single"/>
              </w:rPr>
              <w:t>ыполнение индикаторов -100%).</w:t>
            </w:r>
          </w:p>
        </w:tc>
      </w:tr>
      <w:tr w:rsidR="00D3397E" w14:paraId="5206BBAC" w14:textId="77777777" w:rsidTr="00534E3F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F8EF" w14:textId="77777777" w:rsidR="00D3397E" w:rsidRDefault="00A242D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DDF1" w14:textId="77777777" w:rsidR="00D3397E" w:rsidRDefault="00A242D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1.4. Анализ личных дел государственных гражданских служащих Республики Татарстан, муниципальных служащих в Республике Татарстан и актуализация сведений, содержащихся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165A" w14:textId="77777777" w:rsidR="00D3397E" w:rsidRDefault="00A242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5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5386" w14:textId="77777777" w:rsidR="00D3397E" w:rsidRDefault="006748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8FD">
              <w:rPr>
                <w:rFonts w:ascii="Times New Roman" w:hAnsi="Times New Roman"/>
                <w:sz w:val="24"/>
                <w:szCs w:val="24"/>
              </w:rPr>
              <w:t>В соответствии с распоряжением Правительства Российской Федерации от 20 ноября 2019 года № 2745-р проведена работа по актуализации сведений, содержащихся в анкетах муниципальных служащих, об их родственниках и свойственниках. Все изменения, вносимые в анкету в связи с изменением законодательства, отслеживаются и своевременно актуализируются.</w:t>
            </w:r>
          </w:p>
          <w:p w14:paraId="7F21E2CC" w14:textId="6DD14000" w:rsidR="00B92FA9" w:rsidRPr="006748FD" w:rsidRDefault="00B92F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45">
              <w:rPr>
                <w:rFonts w:ascii="Times New Roman" w:hAnsi="Times New Roman"/>
                <w:sz w:val="24"/>
                <w:szCs w:val="24"/>
                <w:u w:val="single"/>
              </w:rPr>
              <w:t>(Выполнение индикаторов -100%)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</w:tr>
      <w:tr w:rsidR="00D3397E" w14:paraId="6FA8BBB8" w14:textId="77777777" w:rsidTr="00534E3F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9038" w14:textId="77777777" w:rsidR="00D3397E" w:rsidRDefault="00A242D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B346" w14:textId="77777777" w:rsidR="00D3397E" w:rsidRDefault="00A242D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Проведение проверок соблюдения государственными гражданскими служащими Республики Татарстан требований к служебному поведению, предусмотренных законодательством о государственной службе, и муниципальными служащими Республики Татарстан ограничений и запретов, предусмотренных законодательством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службе, в том числе на предмет участия в предпринимательской деятельности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52BC" w14:textId="77777777" w:rsidR="00D3397E" w:rsidRDefault="00A242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Республиканские органы исполнительной власти, органы местного самоуправления (по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5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9608" w14:textId="77777777" w:rsidR="00D3397E" w:rsidRDefault="006748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8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поступлении на муниципальную службу сотрудниками отдела кадровой политики и управления персоналом проводится проверка ограничений и запретов кандидатов, запрашиваются справки об отсутствии  судимости, направляются запросы в Отделы военного </w:t>
            </w:r>
            <w:r w:rsidRPr="006748FD">
              <w:rPr>
                <w:rFonts w:ascii="Times New Roman" w:hAnsi="Times New Roman"/>
                <w:sz w:val="24"/>
                <w:szCs w:val="24"/>
              </w:rPr>
              <w:lastRenderedPageBreak/>
              <w:t>комиссариата о том по какой причине сотрудник не прошел  военную службу по призыву, имеются ли на то законные основания. С кандидатом, поступающим на муниципальную службу, сотрудники отдела кадровой политики и управления персоналом, начальник правового отдела проводят профилактическую беседу с целью проверки соблюдения требований к служебному поведению.</w:t>
            </w:r>
          </w:p>
          <w:p w14:paraId="1C57CEE4" w14:textId="2B7F9456" w:rsidR="00B637B7" w:rsidRPr="006748FD" w:rsidRDefault="00B637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81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01B81">
              <w:rPr>
                <w:rFonts w:ascii="Times New Roman" w:hAnsi="Times New Roman"/>
                <w:sz w:val="24"/>
                <w:szCs w:val="24"/>
                <w:u w:val="single"/>
              </w:rPr>
              <w:t>ыполнение индикаторов -100%).</w:t>
            </w:r>
          </w:p>
        </w:tc>
      </w:tr>
      <w:tr w:rsidR="00D3397E" w14:paraId="19F92A87" w14:textId="77777777" w:rsidTr="00534E3F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7935" w14:textId="77777777" w:rsidR="00D3397E" w:rsidRDefault="00A242D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A75E" w14:textId="77777777" w:rsidR="00D3397E" w:rsidRDefault="00A242D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1.7. Проведение мониторинга участия лиц, замещающих государственные должности Республики Татарстан, муниципальные должности, должности государственной гражданской службы Республики Татарстан, должности муниципальной службы в Республике Татарстан, в управлении коммерческими и некоммерческими организациями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9511" w14:textId="77777777" w:rsidR="00D3397E" w:rsidRDefault="00A242D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5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CCB2" w14:textId="77777777" w:rsidR="00043E67" w:rsidRDefault="00043E67" w:rsidP="00043E67">
            <w:pPr>
              <w:pStyle w:val="Default"/>
              <w:jc w:val="both"/>
            </w:pPr>
            <w:r>
              <w:t>В целях осуществления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проводится работа по рассмотрению уведомлений от муниципальных служащих.</w:t>
            </w:r>
          </w:p>
          <w:p w14:paraId="092051B8" w14:textId="77777777" w:rsidR="00D3397E" w:rsidRDefault="00043E67" w:rsidP="00043E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E7E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отчетном периоде </w:t>
            </w:r>
            <w:r w:rsidRPr="005E7EB0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уведомлений о наличии или возможности возникновения конфликта интересов у муниципальных служащих не поступало.</w:t>
            </w:r>
          </w:p>
          <w:p w14:paraId="7ED05927" w14:textId="37EBAD2D" w:rsidR="00B637B7" w:rsidRDefault="00B637B7" w:rsidP="00043E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1B81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01B81">
              <w:rPr>
                <w:rFonts w:ascii="Times New Roman" w:hAnsi="Times New Roman"/>
                <w:sz w:val="24"/>
                <w:szCs w:val="24"/>
                <w:u w:val="single"/>
              </w:rPr>
              <w:t>ыполнение индикаторов -100%).</w:t>
            </w:r>
          </w:p>
        </w:tc>
      </w:tr>
      <w:tr w:rsidR="00D3397E" w14:paraId="2361A2E1" w14:textId="77777777" w:rsidTr="00534E3F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2C2D" w14:textId="77777777" w:rsidR="00D3397E" w:rsidRDefault="00A242D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777E" w14:textId="77777777" w:rsidR="00D3397E" w:rsidRDefault="00A242D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1.8. Проведение работы с организациями, подведомственными органам публичной власти в Республике Татарстан, в целях обеспечения соблюдения обязанности принимать меры, предусмотренные положениями </w:t>
            </w:r>
            <w:hyperlink r:id="rId11" w:anchor="/document/12164203/entry/133" w:history="1">
              <w:r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статьи 13.3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 Федерального закона от 25 декабря 2008 года № 273-ФЗ «О противодействии коррупции», по предупреждению коррупции, в том числе по выявлению, предотвращению и урегулированию конфликта интересов организациями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D8A4" w14:textId="77777777" w:rsidR="00D3397E" w:rsidRDefault="00A242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5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8C40" w14:textId="77777777" w:rsidR="00D3397E" w:rsidRDefault="00043E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E67">
              <w:rPr>
                <w:rFonts w:ascii="Times New Roman" w:hAnsi="Times New Roman"/>
                <w:sz w:val="24"/>
                <w:szCs w:val="24"/>
              </w:rPr>
              <w:t>Ответственным лицом и Комиссией по урегулированию конфликта интересов осуществляется работа по контролю за соблюдением законодательства в части выявления, предотвращения и урегулирования конфликта интересов организациями, подведомственными ИОГВ РТ и ОМС.</w:t>
            </w:r>
          </w:p>
          <w:p w14:paraId="52E7F739" w14:textId="77777777" w:rsidR="00B637B7" w:rsidRDefault="00B637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987">
              <w:rPr>
                <w:rFonts w:ascii="Times New Roman" w:hAnsi="Times New Roman"/>
                <w:sz w:val="24"/>
                <w:szCs w:val="24"/>
              </w:rPr>
              <w:t>Внесены  изменения в уставы подведомственных учреждений, трудовые договоры с руководителями и сотрудниками подведомственных учреждений.</w:t>
            </w:r>
          </w:p>
          <w:p w14:paraId="60CFEA70" w14:textId="28041B94" w:rsidR="00B637B7" w:rsidRPr="00043E67" w:rsidRDefault="00B637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81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D01B81">
              <w:rPr>
                <w:rFonts w:ascii="Times New Roman" w:hAnsi="Times New Roman"/>
                <w:sz w:val="24"/>
                <w:szCs w:val="24"/>
                <w:u w:val="single"/>
              </w:rPr>
              <w:t>ыполнение индикаторов -100%).</w:t>
            </w:r>
          </w:p>
        </w:tc>
      </w:tr>
      <w:tr w:rsidR="00D3397E" w14:paraId="73B655F9" w14:textId="77777777" w:rsidTr="00534E3F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638F" w14:textId="77777777" w:rsidR="00D3397E" w:rsidRDefault="00A242D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4C47" w14:textId="77777777" w:rsidR="00D3397E" w:rsidRDefault="00A242D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1.9. Утверждение и исполнение годовых планов работ комиссий при руководителях республиканских органов исполнительной власти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05D9" w14:textId="77777777" w:rsidR="00D3397E" w:rsidRDefault="00A242D2">
            <w:pPr>
              <w:pStyle w:val="a0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p_399023"/>
            <w:bookmarkEnd w:id="1"/>
            <w:r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</w:t>
            </w:r>
          </w:p>
          <w:p w14:paraId="36CE4FAB" w14:textId="77777777" w:rsidR="00D3397E" w:rsidRDefault="00A242D2">
            <w:pPr>
              <w:pStyle w:val="a0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" w:name="p_399024"/>
            <w:bookmarkEnd w:id="2"/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5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69BD" w14:textId="77777777" w:rsidR="00D3397E" w:rsidRDefault="00043E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Комиссии по координации работы по противодействию коррупции в муниципальном образовании «Нижнекамский муниципальный район» Республики Татарстан утверждается руководителем муниципального образования</w:t>
            </w:r>
            <w:r w:rsidRPr="00055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размещается на официальном сайте «Нижнекамского муниципального района». Заседания Комиссии проводятся по плану. Протоколы заседания Комиссии размещаются на официальном сайте Нижнекамского муниципального района в разделе «Противодействие коррупции».</w:t>
            </w:r>
          </w:p>
          <w:p w14:paraId="23D31416" w14:textId="6B1C6D38" w:rsidR="002C2B76" w:rsidRDefault="002C2B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DE9">
              <w:rPr>
                <w:rFonts w:ascii="Times New Roman" w:hAnsi="Times New Roman"/>
                <w:sz w:val="24"/>
                <w:szCs w:val="24"/>
                <w:u w:val="single"/>
              </w:rPr>
              <w:t>(Выполнение индикаторов -100%)</w:t>
            </w:r>
          </w:p>
        </w:tc>
      </w:tr>
      <w:tr w:rsidR="00D3397E" w14:paraId="54374929" w14:textId="77777777" w:rsidTr="00534E3F">
        <w:trPr>
          <w:trHeight w:val="787"/>
        </w:trPr>
        <w:tc>
          <w:tcPr>
            <w:tcW w:w="159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2453" w14:textId="77777777" w:rsidR="00D3397E" w:rsidRDefault="00A242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Задача 2. 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</w:t>
            </w:r>
          </w:p>
        </w:tc>
      </w:tr>
      <w:tr w:rsidR="00D3397E" w14:paraId="3F3BD92A" w14:textId="77777777" w:rsidTr="00534E3F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8EE5" w14:textId="77777777" w:rsidR="00D3397E" w:rsidRDefault="00A242D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E1B3" w14:textId="77777777" w:rsidR="00D3397E" w:rsidRDefault="00A242D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2.1. Обеспечение условий для проведения антикоррупционной экспертизы нормативных правовых актов и проектов нормативных правовых актов и обобщение результатов проведения указанной экспертизы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6932" w14:textId="77777777" w:rsidR="00D3397E" w:rsidRDefault="00A242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юстиции Республики Татарстан, 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5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F5AC" w14:textId="77777777" w:rsidR="00422612" w:rsidRPr="00B7727F" w:rsidRDefault="00422612" w:rsidP="00422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805A1D">
              <w:rPr>
                <w:rFonts w:ascii="Times New Roman" w:hAnsi="Times New Roman"/>
                <w:sz w:val="24"/>
                <w:szCs w:val="24"/>
              </w:rPr>
              <w:t>I квартал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5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727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7727F">
              <w:rPr>
                <w:rFonts w:ascii="Times New Roman" w:hAnsi="Times New Roman"/>
                <w:sz w:val="24"/>
                <w:szCs w:val="24"/>
              </w:rPr>
              <w:t xml:space="preserve"> года лицом, ответственным за проведение антикоррупционной экспертизы проектов муниципальных нормативных правовых актов и муниципальных нормативных правовых актов, принятых органами местного самоуправления Нижнекамского муниципального района, в том числе городских и сельских поселений, входящих в его состав, проведено:</w:t>
            </w:r>
          </w:p>
          <w:p w14:paraId="5E3EB5A1" w14:textId="77777777" w:rsidR="00422612" w:rsidRPr="00140370" w:rsidRDefault="00422612" w:rsidP="00422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70">
              <w:rPr>
                <w:rFonts w:ascii="Times New Roman" w:hAnsi="Times New Roman"/>
                <w:sz w:val="24"/>
                <w:szCs w:val="24"/>
              </w:rPr>
              <w:t xml:space="preserve">-  антикоррупционных экспертиз проектов актов – </w:t>
            </w:r>
            <w:r w:rsidRPr="00422612">
              <w:rPr>
                <w:rFonts w:ascii="Times New Roman" w:hAnsi="Times New Roman"/>
                <w:sz w:val="24"/>
                <w:szCs w:val="24"/>
              </w:rPr>
              <w:t>19</w:t>
            </w:r>
            <w:r w:rsidRPr="00303F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6CABBC7" w14:textId="77777777" w:rsidR="00422612" w:rsidRPr="00140370" w:rsidRDefault="00422612" w:rsidP="00422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70">
              <w:rPr>
                <w:rFonts w:ascii="Times New Roman" w:hAnsi="Times New Roman"/>
                <w:sz w:val="24"/>
                <w:szCs w:val="24"/>
              </w:rPr>
              <w:t>-  антикор</w:t>
            </w:r>
            <w:r>
              <w:rPr>
                <w:rFonts w:ascii="Times New Roman" w:hAnsi="Times New Roman"/>
                <w:sz w:val="24"/>
                <w:szCs w:val="24"/>
              </w:rPr>
              <w:t>рупционных экспертиз актов – 19</w:t>
            </w:r>
            <w:r w:rsidRPr="001403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A929669" w14:textId="77777777" w:rsidR="00422612" w:rsidRPr="00140370" w:rsidRDefault="00422612" w:rsidP="00422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70">
              <w:rPr>
                <w:rFonts w:ascii="Times New Roman" w:hAnsi="Times New Roman"/>
                <w:sz w:val="24"/>
                <w:szCs w:val="24"/>
              </w:rPr>
              <w:t>-  выявлено коррупциогенных факторов в проектах – 0;</w:t>
            </w:r>
          </w:p>
          <w:p w14:paraId="74A1212B" w14:textId="77777777" w:rsidR="00422612" w:rsidRPr="00140370" w:rsidRDefault="00422612" w:rsidP="00422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70">
              <w:rPr>
                <w:rFonts w:ascii="Times New Roman" w:hAnsi="Times New Roman"/>
                <w:sz w:val="24"/>
                <w:szCs w:val="24"/>
              </w:rPr>
              <w:t>- выявлено коррупциогенных факторов в актах – 0;</w:t>
            </w:r>
          </w:p>
          <w:p w14:paraId="0783F5DE" w14:textId="77777777" w:rsidR="00D3397E" w:rsidRDefault="00422612" w:rsidP="00422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70">
              <w:rPr>
                <w:rFonts w:ascii="Times New Roman" w:hAnsi="Times New Roman"/>
                <w:sz w:val="24"/>
                <w:szCs w:val="24"/>
              </w:rPr>
              <w:t>- получено закл</w:t>
            </w:r>
            <w:r>
              <w:rPr>
                <w:rFonts w:ascii="Times New Roman" w:hAnsi="Times New Roman"/>
                <w:sz w:val="24"/>
                <w:szCs w:val="24"/>
              </w:rPr>
              <w:t>ючений независимых экспертов – 0</w:t>
            </w:r>
            <w:r w:rsidRPr="001403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6F5C7D" w14:textId="6C7C07E2" w:rsidR="002C2B76" w:rsidRPr="00422612" w:rsidRDefault="002C2B76" w:rsidP="00422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DE9">
              <w:rPr>
                <w:rFonts w:ascii="Times New Roman" w:hAnsi="Times New Roman"/>
                <w:sz w:val="24"/>
                <w:szCs w:val="24"/>
                <w:u w:val="single"/>
              </w:rPr>
              <w:t>(Выполнение индикаторов -100%)</w:t>
            </w:r>
          </w:p>
        </w:tc>
      </w:tr>
      <w:tr w:rsidR="00D3397E" w14:paraId="02767CA0" w14:textId="77777777" w:rsidTr="00534E3F">
        <w:trPr>
          <w:trHeight w:val="708"/>
        </w:trPr>
        <w:tc>
          <w:tcPr>
            <w:tcW w:w="159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EB1C" w14:textId="77777777" w:rsidR="00D3397E" w:rsidRDefault="00A242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Задача 3. 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D3397E" w14:paraId="5C2F50F7" w14:textId="77777777" w:rsidTr="00534E3F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A586" w14:textId="77777777" w:rsidR="00D3397E" w:rsidRDefault="00A242D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BD47" w14:textId="77777777" w:rsidR="00D3397E" w:rsidRDefault="00A242D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3.7. Осуществление работы по формированию у государственных гражданских служащих Республики Татарстан, муниципальных служащих в Республике Татарстан, работников органов публичной власти в Республике Татарстан, государственных и муниципальных организаций отрицательного отношения к коррупции, в том числе принятие организационных, разъяснительных и иных мер по соблюдению государственными гражданскими служащими Республики Татарстан, муниципальными служащими в Республике Татарстан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3518" w14:textId="77777777" w:rsidR="00D3397E" w:rsidRDefault="00A242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5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5C6D" w14:textId="77777777" w:rsidR="001007D1" w:rsidRPr="00D84669" w:rsidRDefault="001007D1" w:rsidP="001007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669">
              <w:rPr>
                <w:rFonts w:ascii="Times New Roman" w:hAnsi="Times New Roman"/>
                <w:sz w:val="24"/>
                <w:szCs w:val="24"/>
              </w:rPr>
              <w:t>Распоряжением руководителя аппарата Совета Нижнекамского муниципального района №4 от 03.04.2013 года утверждена форма добровольного тестирования (опроса) граждан, поступающих на муниципальную службу и муниципальных служащих, для определения их отношения к проявлениям коррупции. Тестирование проводится среди муниципальных служащих при сдаче квалификационного экзамена, аттестации, при назначении на иные должности муниципальной службы.</w:t>
            </w:r>
          </w:p>
          <w:p w14:paraId="03C8735B" w14:textId="77777777" w:rsidR="001007D1" w:rsidRPr="00D84669" w:rsidRDefault="001007D1" w:rsidP="001007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669">
              <w:rPr>
                <w:rFonts w:ascii="Times New Roman" w:hAnsi="Times New Roman"/>
                <w:sz w:val="24"/>
                <w:szCs w:val="24"/>
              </w:rPr>
              <w:t>Утверждены Положения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служащими Совета и Исполнительного комитета Нижнекамского муниципального района, Совета и исполнительного комитета города Нижнекамска При поступлении на должность муниципальной службы предоставляются нормативно-правовые акты, устанавливающие его права и обязанности по замещаемой должности, проводятся ознакомительные беседы об обязанностях муниципального служащего с разъяснением ограничений и запретов, в том числе касающихся дарения и получения подарков, и обязательствах их соблюдения.</w:t>
            </w:r>
          </w:p>
          <w:p w14:paraId="3BFE0E8D" w14:textId="77777777" w:rsidR="001007D1" w:rsidRPr="00D84669" w:rsidRDefault="001007D1" w:rsidP="001007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669">
              <w:rPr>
                <w:rFonts w:ascii="Times New Roman" w:hAnsi="Times New Roman"/>
                <w:sz w:val="24"/>
                <w:szCs w:val="24"/>
              </w:rPr>
              <w:t xml:space="preserve">Ознакомление с положениями законодательства Российской Федерации о противодействии коррупции организовано размещением данных нормативно-правовых актов на официальном сайте Нижнекамского муниципального района. При проведении </w:t>
            </w:r>
            <w:r w:rsidRPr="00D84669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квалификационных экзаменов и аттестации муниципальных служащих в экзаменационные вопросы включается тема о противодействии коррупции. Для успешной сдачи экзамена и аттестации муниципальному служащему предварительно предоставляется необходимый материал с нормативно-правовыми актами.</w:t>
            </w:r>
          </w:p>
          <w:p w14:paraId="1C80FC4F" w14:textId="77777777" w:rsidR="001007D1" w:rsidRPr="00D84669" w:rsidRDefault="001007D1" w:rsidP="001007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669">
              <w:rPr>
                <w:rFonts w:ascii="Times New Roman" w:hAnsi="Times New Roman"/>
                <w:sz w:val="24"/>
                <w:szCs w:val="24"/>
              </w:rPr>
              <w:t>При поступлении на должность муниципальной службы претенденту предоставляются для ознакомления нормативно-правовые акты, устанавливающие его права по замещаемой должности, проводятся беседы об обязанностях муниципального служащего с более подробным разъяснением обязанности соблюдения им ограничений, выполнения обязательств, не нарушения запретов, установленных законодательством о муниципальной службе. Также до сведения претендента доводится утвержденный порядок уведомления представителя нанимателя 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</w:t>
            </w:r>
          </w:p>
          <w:p w14:paraId="65274388" w14:textId="77777777" w:rsidR="00D3397E" w:rsidRDefault="001007D1" w:rsidP="001007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669">
              <w:rPr>
                <w:rFonts w:ascii="Times New Roman" w:hAnsi="Times New Roman"/>
                <w:sz w:val="24"/>
                <w:szCs w:val="24"/>
              </w:rPr>
              <w:t>При назначении на муниципальную должность с лицами, претендующими на замещение муниципальной должности, ведется разъяснительная работа и подписывается письменное уведомление.</w:t>
            </w:r>
          </w:p>
          <w:p w14:paraId="11A0AD91" w14:textId="2E56B11E" w:rsidR="002C2B76" w:rsidRDefault="002C2B76" w:rsidP="001007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DE9">
              <w:rPr>
                <w:rFonts w:ascii="Times New Roman" w:hAnsi="Times New Roman"/>
                <w:sz w:val="24"/>
                <w:szCs w:val="24"/>
                <w:u w:val="single"/>
              </w:rPr>
              <w:t>(Выполнение индикаторов -100%)</w:t>
            </w:r>
          </w:p>
        </w:tc>
      </w:tr>
      <w:tr w:rsidR="00D3397E" w14:paraId="3D37B4DB" w14:textId="77777777" w:rsidTr="00534E3F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03E7" w14:textId="77777777" w:rsidR="00D3397E" w:rsidRDefault="00A242D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652B" w14:textId="77777777" w:rsidR="00D3397E" w:rsidRDefault="00A242D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3.8. Рассмотрение отчетов о реализации программ противодействия коррупции на заседаниях общественных советов органов публичной власти в Республике Татарстан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21ED" w14:textId="77777777" w:rsidR="00D3397E" w:rsidRDefault="00A242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5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4E4A" w14:textId="77777777" w:rsidR="00D3397E" w:rsidRDefault="001007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6F6">
              <w:rPr>
                <w:rFonts w:ascii="Times New Roman" w:hAnsi="Times New Roman"/>
                <w:sz w:val="24"/>
                <w:szCs w:val="24"/>
              </w:rPr>
              <w:t xml:space="preserve">Данная информация 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ответственными лицами</w:t>
            </w:r>
            <w:r w:rsidRPr="005006F6">
              <w:rPr>
                <w:rFonts w:ascii="Times New Roman" w:hAnsi="Times New Roman"/>
                <w:sz w:val="24"/>
                <w:szCs w:val="24"/>
              </w:rPr>
              <w:t xml:space="preserve"> и по мере поступления публикуется на официальном сайте и передается в СМИ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3C4BE0" w14:textId="2CDD625F" w:rsidR="002C2B76" w:rsidRDefault="002C2B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DE9">
              <w:rPr>
                <w:rFonts w:ascii="Times New Roman" w:hAnsi="Times New Roman"/>
                <w:sz w:val="24"/>
                <w:szCs w:val="24"/>
                <w:u w:val="single"/>
              </w:rPr>
              <w:t>(Выполнение индикаторов -100%)</w:t>
            </w:r>
          </w:p>
        </w:tc>
      </w:tr>
      <w:tr w:rsidR="00D3397E" w14:paraId="3C4E6967" w14:textId="77777777" w:rsidTr="00534E3F">
        <w:trPr>
          <w:trHeight w:val="623"/>
        </w:trPr>
        <w:tc>
          <w:tcPr>
            <w:tcW w:w="159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FF5E" w14:textId="77777777" w:rsidR="00D3397E" w:rsidRDefault="00A242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Задача 4. Обеспечение открытости, доступности для населения деятельности органов публичной власти в Республике Татарстан,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D3397E" w14:paraId="154EC828" w14:textId="77777777" w:rsidTr="00534E3F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6D5C" w14:textId="77777777" w:rsidR="00D3397E" w:rsidRDefault="00A242D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2D33" w14:textId="77777777" w:rsidR="00D3397E" w:rsidRDefault="00A242D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4.2. Обеспечение функционирования в органах публичной власти в Республике Татарстан телефонов доверия, горячих линий, интернет-приемных,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E202" w14:textId="77777777" w:rsidR="00D3397E" w:rsidRDefault="00A242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5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4AC8" w14:textId="77777777" w:rsidR="00D3397E" w:rsidRDefault="000E29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6F6">
              <w:rPr>
                <w:rFonts w:ascii="Times New Roman" w:hAnsi="Times New Roman"/>
                <w:sz w:val="24"/>
                <w:szCs w:val="24"/>
              </w:rPr>
              <w:t>В разделе «Противодействие коррупции» на официальном сайте НМР указаны номера телефонов доверия (</w:t>
            </w:r>
            <w:hyperlink r:id="rId12" w:history="1">
              <w:r w:rsidRPr="005006F6">
                <w:rPr>
                  <w:rStyle w:val="af"/>
                  <w:rFonts w:ascii="Times New Roman" w:hAnsi="Times New Roman"/>
                  <w:sz w:val="24"/>
                  <w:szCs w:val="24"/>
                </w:rPr>
                <w:t>http://www.e-nizhnekamsk.ru/documents/469/</w:t>
              </w:r>
            </w:hyperlink>
            <w:r w:rsidRPr="005006F6">
              <w:rPr>
                <w:rFonts w:ascii="Times New Roman" w:hAnsi="Times New Roman"/>
                <w:sz w:val="24"/>
                <w:szCs w:val="24"/>
              </w:rPr>
              <w:t xml:space="preserve"> ), также на сайте указан номер </w:t>
            </w:r>
            <w:proofErr w:type="spellStart"/>
            <w:r w:rsidRPr="005006F6">
              <w:rPr>
                <w:rFonts w:ascii="Times New Roman" w:hAnsi="Times New Roman"/>
                <w:sz w:val="24"/>
                <w:szCs w:val="24"/>
              </w:rPr>
              <w:t>ГЛАВного</w:t>
            </w:r>
            <w:proofErr w:type="spellEnd"/>
            <w:r w:rsidRPr="005006F6">
              <w:rPr>
                <w:rFonts w:ascii="Times New Roman" w:hAnsi="Times New Roman"/>
                <w:sz w:val="24"/>
                <w:szCs w:val="24"/>
              </w:rPr>
              <w:t xml:space="preserve"> телефона – «473-473», куда может позвонить любой </w:t>
            </w:r>
            <w:proofErr w:type="spellStart"/>
            <w:r w:rsidRPr="005006F6">
              <w:rPr>
                <w:rFonts w:ascii="Times New Roman" w:hAnsi="Times New Roman"/>
                <w:sz w:val="24"/>
                <w:szCs w:val="24"/>
              </w:rPr>
              <w:t>нижнекамец</w:t>
            </w:r>
            <w:proofErr w:type="spellEnd"/>
            <w:r w:rsidRPr="005006F6">
              <w:rPr>
                <w:rFonts w:ascii="Times New Roman" w:hAnsi="Times New Roman"/>
                <w:sz w:val="24"/>
                <w:szCs w:val="24"/>
              </w:rPr>
              <w:t xml:space="preserve"> и оставить свое сообщение.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официальном сайте создан специальный раздел «Жителям», где есть возможность оставить в электронном виде свое обращение.</w:t>
            </w:r>
          </w:p>
          <w:p w14:paraId="310B3075" w14:textId="4D3AC009" w:rsidR="002C2B76" w:rsidRDefault="002C2B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DE9">
              <w:rPr>
                <w:rFonts w:ascii="Times New Roman" w:hAnsi="Times New Roman"/>
                <w:sz w:val="24"/>
                <w:szCs w:val="24"/>
                <w:u w:val="single"/>
              </w:rPr>
              <w:t>(Выполнение индикаторов -100%)</w:t>
            </w:r>
          </w:p>
        </w:tc>
      </w:tr>
      <w:tr w:rsidR="00D3397E" w14:paraId="5349C532" w14:textId="77777777" w:rsidTr="00534E3F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5D3C" w14:textId="77777777" w:rsidR="00D3397E" w:rsidRDefault="00A242D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6AD6" w14:textId="77777777" w:rsidR="00D3397E" w:rsidRDefault="00A242D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4.3. Проведение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комиссий при руководителях республиканских органов исполнительной власти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7BBF" w14:textId="77777777" w:rsidR="00D3397E" w:rsidRDefault="00A242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5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BAC0" w14:textId="77777777" w:rsidR="00D3397E" w:rsidRDefault="000E29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Данная информация предоставляется ответственными лицами и по мере поступления публикуется на официальном сайте и передается в СМИ.</w:t>
            </w:r>
          </w:p>
          <w:p w14:paraId="00025236" w14:textId="77777777" w:rsidR="002C2B76" w:rsidRDefault="002C2B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AC706F" w14:textId="77777777" w:rsidR="002C2B76" w:rsidRDefault="002C2B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5E754F" w14:textId="77777777" w:rsidR="002C2B76" w:rsidRDefault="002C2B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C3CA47" w14:textId="77777777" w:rsidR="002C2B76" w:rsidRDefault="002C2B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1AA96F" w14:textId="77777777" w:rsidR="002C2B76" w:rsidRDefault="002C2B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DD065B" w14:textId="70E2E5E2" w:rsidR="002C2B76" w:rsidRDefault="002C2B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DE9">
              <w:rPr>
                <w:rFonts w:ascii="Times New Roman" w:hAnsi="Times New Roman"/>
                <w:sz w:val="24"/>
                <w:szCs w:val="24"/>
                <w:u w:val="single"/>
              </w:rPr>
              <w:t>(Выполнение индикаторов -100%)</w:t>
            </w:r>
          </w:p>
        </w:tc>
      </w:tr>
      <w:tr w:rsidR="00D3397E" w14:paraId="71DB7ED5" w14:textId="77777777" w:rsidTr="00534E3F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FDFB" w14:textId="77777777" w:rsidR="00D3397E" w:rsidRDefault="00A242D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78D3" w14:textId="77777777" w:rsidR="00D3397E" w:rsidRDefault="00A242D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4.4 Оформление и актуализация специальных информационных стендов, разделов «Противодействие коррупции» официальных сайтов органов публичной власти в Республике Татарстан и иные формы предоставления информации антикоррупционного содержания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0D0C" w14:textId="77777777" w:rsidR="00D3397E" w:rsidRDefault="00A242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5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0766" w14:textId="77777777" w:rsidR="000E2991" w:rsidRDefault="000E2991" w:rsidP="000E29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D2C2D">
              <w:rPr>
                <w:rFonts w:ascii="Times New Roman" w:hAnsi="Times New Roman"/>
                <w:sz w:val="24"/>
                <w:szCs w:val="24"/>
              </w:rPr>
              <w:t xml:space="preserve"> каждом дошкольном образовательном учреждении Нижнекамского муниципального района подведомственному учреждению имеются стенды (информационные плакаты, афиши) антикоррупционной направленности.</w:t>
            </w:r>
          </w:p>
          <w:p w14:paraId="24B573E6" w14:textId="77777777" w:rsidR="00D3397E" w:rsidRDefault="000E2991" w:rsidP="000E29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информационных стендах образовательных организаций имеются памятки, телефоны горячих линий для обращений по фактам коррупционных проявлений. В школах имеются методические рекомендации по выявлению фактов личной заинтересованности, связанности (аффилированности) должностных лиц, принимающих решения о распоряжении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бюджетными средствами; методические материалы, направленные на совершенствование деятельности по противодействию коррупции.</w:t>
            </w:r>
          </w:p>
          <w:p w14:paraId="6BDD6809" w14:textId="77777777" w:rsidR="000E2991" w:rsidRDefault="000E2991" w:rsidP="000E29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официальном сайте Нижнекамского муниципального района создан специальный раздел «Противодействие коррупции», за наполнение которого отвечают ответственные лица и сотрудник отдела по связям с общественностью и СМИ. Информация в данном разделе обновляется периодически.</w:t>
            </w:r>
          </w:p>
          <w:p w14:paraId="401B4965" w14:textId="27ED0E11" w:rsidR="002C2B76" w:rsidRDefault="002C2B76" w:rsidP="000E29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DE9">
              <w:rPr>
                <w:rFonts w:ascii="Times New Roman" w:hAnsi="Times New Roman"/>
                <w:sz w:val="24"/>
                <w:szCs w:val="24"/>
                <w:u w:val="single"/>
              </w:rPr>
              <w:t>(Выполнение индикаторов -100%)</w:t>
            </w:r>
          </w:p>
        </w:tc>
      </w:tr>
      <w:tr w:rsidR="00D3397E" w14:paraId="145FC4BE" w14:textId="77777777" w:rsidTr="00534E3F">
        <w:trPr>
          <w:trHeight w:val="601"/>
        </w:trPr>
        <w:tc>
          <w:tcPr>
            <w:tcW w:w="159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94BD" w14:textId="77777777" w:rsidR="00D3397E" w:rsidRDefault="00A242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Задача 5. 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D3397E" w14:paraId="7C82FA24" w14:textId="77777777" w:rsidTr="00534E3F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7BB3" w14:textId="77777777" w:rsidR="00D3397E" w:rsidRDefault="00A242D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513B" w14:textId="77777777" w:rsidR="00D3397E" w:rsidRDefault="00A242D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5.2. Реализация мер, способствующих снижению уровня коррупции при осуществлении закупок товаров (работ, услуг) для государственных и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F7AF" w14:textId="77777777" w:rsidR="00D3397E" w:rsidRDefault="00A242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5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2276" w14:textId="77777777" w:rsidR="000E2991" w:rsidRPr="0008589A" w:rsidRDefault="000E2991" w:rsidP="000E29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89A">
              <w:rPr>
                <w:rFonts w:ascii="Times New Roman" w:hAnsi="Times New Roman"/>
                <w:sz w:val="24"/>
                <w:szCs w:val="24"/>
              </w:rPr>
              <w:t>В целях обеспечения открытости и доступности осуществляемых закупок в Нижнекамском муниципальном районе Республики Татарстан осуществляется размещение планов-графиков закупок для нужд муниципальных заказчиков в единой информационной системе.</w:t>
            </w:r>
          </w:p>
          <w:p w14:paraId="727DD092" w14:textId="77777777" w:rsidR="000E2991" w:rsidRPr="0008589A" w:rsidRDefault="000E2991" w:rsidP="000E29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89A">
              <w:rPr>
                <w:rFonts w:ascii="Times New Roman" w:hAnsi="Times New Roman"/>
                <w:sz w:val="24"/>
                <w:szCs w:val="24"/>
              </w:rPr>
              <w:t xml:space="preserve">Основной, и в то же время наиболее эффективной мерой, способствующей снижению уровня коррупции при осуществлении закупок товаров (работ, услуг) для муниципальных нужд в Нижнекамском муниципальном районе является закупка конкурентными способами (электронными аукционами и конкурсами), вместо закупок у единственного поставщика (по п.4, п.5 ч.1 ст. 93 44-ФЗ).  </w:t>
            </w:r>
          </w:p>
          <w:p w14:paraId="05C40833" w14:textId="77777777" w:rsidR="00D3397E" w:rsidRDefault="000E2991" w:rsidP="000E29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89A">
              <w:rPr>
                <w:rFonts w:ascii="Times New Roman" w:hAnsi="Times New Roman"/>
                <w:sz w:val="24"/>
                <w:szCs w:val="24"/>
              </w:rPr>
              <w:t>Закупки малого объема осуществляются преимущественно с использованием ресурсов ЭТП «Биржевая площадка» bp.zakazrf.ru, на которой тоже может быть конкуренция и экономия.</w:t>
            </w:r>
          </w:p>
          <w:p w14:paraId="0D7FD7B5" w14:textId="4C7B4672" w:rsidR="002C2B76" w:rsidRDefault="002C2B76" w:rsidP="000E29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DE9">
              <w:rPr>
                <w:rFonts w:ascii="Times New Roman" w:hAnsi="Times New Roman"/>
                <w:sz w:val="24"/>
                <w:szCs w:val="24"/>
                <w:u w:val="single"/>
              </w:rPr>
              <w:t>(Выполнение индикаторов -100%)</w:t>
            </w:r>
          </w:p>
        </w:tc>
      </w:tr>
      <w:tr w:rsidR="00D3397E" w14:paraId="2543ECE4" w14:textId="77777777" w:rsidTr="00534E3F">
        <w:trPr>
          <w:trHeight w:val="376"/>
        </w:trPr>
        <w:tc>
          <w:tcPr>
            <w:tcW w:w="159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2A8B" w14:textId="77777777" w:rsidR="00D3397E" w:rsidRDefault="00A242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Задача 8. Усиление мер по минимизации бытовой коррупции</w:t>
            </w:r>
          </w:p>
        </w:tc>
      </w:tr>
      <w:tr w:rsidR="00D3397E" w14:paraId="6FDA56AA" w14:textId="77777777" w:rsidTr="00534E3F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AADD" w14:textId="77777777" w:rsidR="00D3397E" w:rsidRDefault="00A242D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B76D" w14:textId="77777777" w:rsidR="00D3397E" w:rsidRDefault="00A242D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8.4. Проведение мониторинга обращений граждан о проявлениях коррупции в социально-экономических отраслях жизнедеятельности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B3F4" w14:textId="77777777" w:rsidR="00D3397E" w:rsidRDefault="00A242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5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1D42" w14:textId="77777777" w:rsidR="00D3397E" w:rsidRDefault="006F10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06D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отчетный </w:t>
            </w:r>
            <w:r w:rsidRPr="006F106D">
              <w:rPr>
                <w:rFonts w:ascii="Times New Roman" w:hAnsi="Times New Roman"/>
                <w:sz w:val="24"/>
                <w:szCs w:val="24"/>
              </w:rPr>
              <w:t>период поступило 1 обращение в сфере дополнительного образования (спорт)</w:t>
            </w:r>
          </w:p>
          <w:p w14:paraId="7A5C503F" w14:textId="77777777" w:rsidR="002C2B76" w:rsidRDefault="002C2B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5AA5A1" w14:textId="77777777" w:rsidR="002C2B76" w:rsidRDefault="002C2B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1D0FAB" w14:textId="77777777" w:rsidR="002C2B76" w:rsidRDefault="002C2B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576C15" w14:textId="39EEDE0D" w:rsidR="002C2B76" w:rsidRPr="00D30F51" w:rsidRDefault="002C2B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DE9">
              <w:rPr>
                <w:rFonts w:ascii="Times New Roman" w:hAnsi="Times New Roman"/>
                <w:sz w:val="24"/>
                <w:szCs w:val="24"/>
                <w:u w:val="single"/>
              </w:rPr>
              <w:t>(Выполнение индикаторов -100%)</w:t>
            </w:r>
          </w:p>
        </w:tc>
      </w:tr>
      <w:tr w:rsidR="00D3397E" w14:paraId="0BA62C38" w14:textId="77777777" w:rsidTr="00534E3F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AD79" w14:textId="77777777" w:rsidR="00D3397E" w:rsidRDefault="00A242D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BC38" w14:textId="77777777" w:rsidR="00D3397E" w:rsidRDefault="00A242D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8.8. 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9234" w14:textId="77777777" w:rsidR="00D3397E" w:rsidRDefault="00A242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5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E7C8" w14:textId="77777777" w:rsidR="00D3397E" w:rsidRDefault="000E2991" w:rsidP="00A317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669">
              <w:rPr>
                <w:rFonts w:ascii="Times New Roman" w:hAnsi="Times New Roman"/>
                <w:sz w:val="24"/>
                <w:szCs w:val="24"/>
              </w:rPr>
              <w:t>Отделом кадровой политики и управления персоналом Совета Нижнекамского муниципального района осуществляется контроль за соблюдением запретов, ограничений и требований, установленных в целях противодействия коррупции.</w:t>
            </w:r>
          </w:p>
          <w:p w14:paraId="4B300114" w14:textId="6767B40D" w:rsidR="002C2B76" w:rsidRPr="00D30F51" w:rsidRDefault="002C2B76" w:rsidP="00A317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DE9">
              <w:rPr>
                <w:rFonts w:ascii="Times New Roman" w:hAnsi="Times New Roman"/>
                <w:sz w:val="24"/>
                <w:szCs w:val="24"/>
                <w:u w:val="single"/>
              </w:rPr>
              <w:t>(Выполнение индикаторов -100%)</w:t>
            </w:r>
          </w:p>
        </w:tc>
      </w:tr>
      <w:tr w:rsidR="00D3397E" w14:paraId="6C6D75D7" w14:textId="77777777" w:rsidTr="00534E3F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0C8E" w14:textId="77777777" w:rsidR="00D3397E" w:rsidRDefault="00A242D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5D82" w14:textId="77777777" w:rsidR="00D3397E" w:rsidRDefault="00A242D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8.9. Осуществление контроля за соблюдением лицами, замещающими должности государственной гражданской службы Республики Татарстан и муниципальной службы в Республике Татарстан, требований </w:t>
            </w:r>
            <w:hyperlink r:id="rId13" w:anchor="/document/12164203/entry/0" w:history="1">
              <w:r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законодательства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 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075E" w14:textId="77777777" w:rsidR="00D3397E" w:rsidRDefault="00A242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5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FA5E" w14:textId="77777777" w:rsidR="00D3397E" w:rsidRDefault="000E29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осуществления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 таких лиц к ответственности в случае их несоблюдения проведена работа по обновлению анкетных данных муниципальных служащих и членов их семей. Конфликт интересов не выявлен.</w:t>
            </w:r>
          </w:p>
          <w:p w14:paraId="044F2C91" w14:textId="6B5CAD88" w:rsidR="002C2B76" w:rsidRPr="00D30F51" w:rsidRDefault="002C2B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DE9">
              <w:rPr>
                <w:rFonts w:ascii="Times New Roman" w:hAnsi="Times New Roman"/>
                <w:sz w:val="24"/>
                <w:szCs w:val="24"/>
                <w:u w:val="single"/>
              </w:rPr>
              <w:t>(Выполнение индикаторов -100%)</w:t>
            </w:r>
          </w:p>
        </w:tc>
      </w:tr>
    </w:tbl>
    <w:p w14:paraId="3E4E97AA" w14:textId="77777777" w:rsidR="00D3397E" w:rsidRDefault="00D3397E">
      <w:pPr>
        <w:widowControl w:val="0"/>
        <w:spacing w:after="0" w:line="240" w:lineRule="auto"/>
        <w:rPr>
          <w:rFonts w:ascii="Times New Roman" w:hAnsi="Times New Roman"/>
          <w:sz w:val="8"/>
          <w:szCs w:val="8"/>
        </w:rPr>
      </w:pPr>
    </w:p>
    <w:p w14:paraId="681D3796" w14:textId="77777777" w:rsidR="00D3397E" w:rsidRDefault="00D3397E">
      <w:pPr>
        <w:widowControl w:val="0"/>
        <w:spacing w:after="0" w:line="240" w:lineRule="auto"/>
        <w:rPr>
          <w:rFonts w:ascii="Times New Roman" w:hAnsi="Times New Roman"/>
          <w:sz w:val="8"/>
          <w:szCs w:val="8"/>
        </w:rPr>
      </w:pPr>
    </w:p>
    <w:sectPr w:rsidR="00D3397E">
      <w:headerReference w:type="default" r:id="rId14"/>
      <w:pgSz w:w="16838" w:h="11906" w:orient="landscape"/>
      <w:pgMar w:top="1134" w:right="567" w:bottom="1134" w:left="567" w:header="567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92814" w14:textId="77777777" w:rsidR="000E0EAE" w:rsidRDefault="000E0EAE">
      <w:pPr>
        <w:spacing w:after="0" w:line="240" w:lineRule="auto"/>
      </w:pPr>
      <w:r>
        <w:separator/>
      </w:r>
    </w:p>
  </w:endnote>
  <w:endnote w:type="continuationSeparator" w:id="0">
    <w:p w14:paraId="2F2EE6D4" w14:textId="77777777" w:rsidR="000E0EAE" w:rsidRDefault="000E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Astra Serif"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4B438" w14:textId="77777777" w:rsidR="000E0EAE" w:rsidRDefault="000E0EAE">
      <w:pPr>
        <w:spacing w:after="0" w:line="240" w:lineRule="auto"/>
      </w:pPr>
      <w:r>
        <w:separator/>
      </w:r>
    </w:p>
  </w:footnote>
  <w:footnote w:type="continuationSeparator" w:id="0">
    <w:p w14:paraId="64C8238C" w14:textId="77777777" w:rsidR="000E0EAE" w:rsidRDefault="000E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C66D7" w14:textId="77777777" w:rsidR="00D3397E" w:rsidRDefault="00D3397E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A72CD"/>
    <w:multiLevelType w:val="multilevel"/>
    <w:tmpl w:val="D6E82D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B06A2B"/>
    <w:multiLevelType w:val="multilevel"/>
    <w:tmpl w:val="738AFAD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7E"/>
    <w:rsid w:val="00043E67"/>
    <w:rsid w:val="00064611"/>
    <w:rsid w:val="0007648E"/>
    <w:rsid w:val="000E0EAE"/>
    <w:rsid w:val="000E2991"/>
    <w:rsid w:val="001007D1"/>
    <w:rsid w:val="00192122"/>
    <w:rsid w:val="002745E7"/>
    <w:rsid w:val="002C2B76"/>
    <w:rsid w:val="0035740A"/>
    <w:rsid w:val="0038526C"/>
    <w:rsid w:val="00422612"/>
    <w:rsid w:val="00534E3F"/>
    <w:rsid w:val="00545198"/>
    <w:rsid w:val="006748FD"/>
    <w:rsid w:val="006F106D"/>
    <w:rsid w:val="007C2A5A"/>
    <w:rsid w:val="0087683C"/>
    <w:rsid w:val="00A242D2"/>
    <w:rsid w:val="00A317D3"/>
    <w:rsid w:val="00A422C5"/>
    <w:rsid w:val="00A5315D"/>
    <w:rsid w:val="00B637B7"/>
    <w:rsid w:val="00B92FA9"/>
    <w:rsid w:val="00CF4512"/>
    <w:rsid w:val="00D30F51"/>
    <w:rsid w:val="00D3397E"/>
    <w:rsid w:val="00E07F0C"/>
    <w:rsid w:val="00EC7A99"/>
    <w:rsid w:val="00F6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701F"/>
  <w15:docId w15:val="{A18E5D4F-B6A0-49E5-B710-1DD2BC48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Astra Serif" w:eastAsia="NSimSun" w:hAnsi="PT Astra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"/>
    <w:uiPriority w:val="9"/>
    <w:qFormat/>
    <w:pPr>
      <w:widowControl w:val="0"/>
      <w:numPr>
        <w:numId w:val="1"/>
      </w:numPr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0"/>
    <w:uiPriority w:val="9"/>
    <w:semiHidden/>
    <w:unhideWhenUsed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Calibri" w:hAnsi="Times New Roman" w:cs="Times New Roman"/>
      <w:color w:val="000000"/>
      <w:sz w:val="20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sz w:val="24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sz w:val="24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6z0">
    <w:name w:val="WW8Num26z0"/>
    <w:qFormat/>
    <w:rPr>
      <w:sz w:val="24"/>
    </w:rPr>
  </w:style>
  <w:style w:type="character" w:customStyle="1" w:styleId="WW8Num26z1">
    <w:name w:val="WW8Num26z1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Times New Roman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St14z0">
    <w:name w:val="WW8NumSt14z0"/>
    <w:qFormat/>
    <w:rPr>
      <w:rFonts w:ascii="Symbol" w:hAnsi="Symbol" w:cs="Symbol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b/>
      <w:i/>
      <w:sz w:val="28"/>
      <w:szCs w:val="24"/>
      <w:u w:val="single"/>
    </w:rPr>
  </w:style>
  <w:style w:type="character" w:customStyle="1" w:styleId="2">
    <w:name w:val="Основной текст с отступом 2 Знак"/>
    <w:basedOn w:val="a1"/>
    <w:qFormat/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10">
    <w:name w:val="Заголовок 1 Знак"/>
    <w:qFormat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32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Основной текст 2 Знак"/>
    <w:basedOn w:val="a1"/>
    <w:qFormat/>
  </w:style>
  <w:style w:type="character" w:customStyle="1" w:styleId="a4">
    <w:name w:val="Цветовое выделение"/>
    <w:qFormat/>
    <w:rPr>
      <w:b/>
      <w:color w:val="000080"/>
    </w:rPr>
  </w:style>
  <w:style w:type="character" w:customStyle="1" w:styleId="a5">
    <w:name w:val="Название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1"/>
    <w:qFormat/>
  </w:style>
  <w:style w:type="character" w:customStyle="1" w:styleId="a7">
    <w:name w:val="Нижний колонтитул Знак"/>
    <w:basedOn w:val="a1"/>
    <w:qFormat/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16"/>
      <w:szCs w:val="16"/>
    </w:rPr>
  </w:style>
  <w:style w:type="character" w:customStyle="1" w:styleId="a9">
    <w:name w:val="Основной текст с отступом Знак"/>
    <w:basedOn w:val="a1"/>
    <w:qFormat/>
  </w:style>
  <w:style w:type="character" w:styleId="aa">
    <w:name w:val="Strong"/>
    <w:qFormat/>
    <w:rPr>
      <w:b/>
      <w:bCs/>
    </w:rPr>
  </w:style>
  <w:style w:type="character" w:customStyle="1" w:styleId="ab">
    <w:name w:val="Текст концевой сноски Знак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ad">
    <w:name w:val="Текст сноски Знак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Символ сноски"/>
    <w:qFormat/>
    <w:rPr>
      <w:vertAlign w:val="superscript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6"/>
      <w:szCs w:val="26"/>
    </w:rPr>
  </w:style>
  <w:style w:type="character" w:styleId="af">
    <w:name w:val="Hyperlink"/>
    <w:rPr>
      <w:color w:val="0000FF"/>
      <w:u w:val="single"/>
    </w:rPr>
  </w:style>
  <w:style w:type="character" w:customStyle="1" w:styleId="af0">
    <w:name w:val="Гипертекстовая ссылка"/>
    <w:qFormat/>
    <w:rPr>
      <w:rFonts w:cs="Times New Roman"/>
      <w:b/>
      <w:bCs/>
      <w:color w:val="008000"/>
    </w:rPr>
  </w:style>
  <w:style w:type="character" w:styleId="af1">
    <w:name w:val="page number"/>
    <w:basedOn w:val="a1"/>
  </w:style>
  <w:style w:type="character" w:styleId="af2">
    <w:name w:val="annotation reference"/>
    <w:qFormat/>
    <w:rPr>
      <w:sz w:val="16"/>
      <w:szCs w:val="16"/>
    </w:rPr>
  </w:style>
  <w:style w:type="character" w:customStyle="1" w:styleId="af3">
    <w:name w:val="Текст примечания Знак"/>
    <w:qFormat/>
    <w:rPr>
      <w:sz w:val="20"/>
      <w:szCs w:val="20"/>
    </w:rPr>
  </w:style>
  <w:style w:type="character" w:customStyle="1" w:styleId="af4">
    <w:name w:val="Тема примечания Знак"/>
    <w:qFormat/>
    <w:rPr>
      <w:b/>
      <w:bCs/>
      <w:sz w:val="20"/>
      <w:szCs w:val="20"/>
    </w:rPr>
  </w:style>
  <w:style w:type="paragraph" w:styleId="af5">
    <w:name w:val="Title"/>
    <w:basedOn w:val="a"/>
    <w:next w:val="a0"/>
    <w:uiPriority w:val="10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styleId="a0">
    <w:name w:val="Body Text"/>
    <w:basedOn w:val="a"/>
    <w:pPr>
      <w:spacing w:after="140"/>
    </w:pPr>
  </w:style>
  <w:style w:type="paragraph" w:styleId="af6">
    <w:name w:val="List"/>
    <w:basedOn w:val="a0"/>
    <w:rPr>
      <w:rFonts w:ascii="PT Astra Serif" w:hAnsi="PT Astra Serif"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styleId="33">
    <w:name w:val="Body Text 3"/>
    <w:basedOn w:val="a"/>
    <w:qFormat/>
    <w:pPr>
      <w:keepNext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4"/>
      <w:u w:val="single"/>
    </w:rPr>
  </w:style>
  <w:style w:type="paragraph" w:customStyle="1" w:styleId="ConsPlusCell">
    <w:name w:val="ConsPlusCell"/>
    <w:qFormat/>
    <w:pPr>
      <w:widowControl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34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af9">
    <w:name w:val="Прижатый влево"/>
    <w:basedOn w:val="a"/>
    <w:next w:val="a"/>
    <w:qFormat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customStyle="1" w:styleId="afa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"/>
    <w:pPr>
      <w:spacing w:after="0" w:line="240" w:lineRule="auto"/>
    </w:pPr>
  </w:style>
  <w:style w:type="paragraph" w:styleId="afd">
    <w:name w:val="footer"/>
    <w:basedOn w:val="a"/>
    <w:pPr>
      <w:spacing w:after="0" w:line="240" w:lineRule="auto"/>
    </w:pPr>
  </w:style>
  <w:style w:type="paragraph" w:styleId="af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f">
    <w:name w:val="Абзац с отсуп"/>
    <w:basedOn w:val="a"/>
    <w:qFormat/>
    <w:pPr>
      <w:spacing w:before="120" w:after="0" w:line="360" w:lineRule="exact"/>
      <w:ind w:firstLine="720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11">
    <w:name w:val="Стиль1"/>
    <w:basedOn w:val="a"/>
    <w:qFormat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customStyle="1" w:styleId="aff0">
    <w:name w:val="Обычный (веб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basedOn w:val="a"/>
    <w:qFormat/>
    <w:pPr>
      <w:ind w:left="720"/>
      <w:contextualSpacing/>
    </w:pPr>
    <w:rPr>
      <w:rFonts w:eastAsia="Times New Roman"/>
    </w:rPr>
  </w:style>
  <w:style w:type="paragraph" w:styleId="aff2">
    <w:name w:val="Body Text Indent"/>
    <w:basedOn w:val="a"/>
    <w:pPr>
      <w:spacing w:after="120"/>
      <w:ind w:left="283"/>
    </w:pPr>
  </w:style>
  <w:style w:type="paragraph" w:customStyle="1" w:styleId="NormalWeb1">
    <w:name w:val="Normal (Web)1"/>
    <w:basedOn w:val="a"/>
    <w:qFormat/>
    <w:pPr>
      <w:spacing w:before="100" w:after="100" w:line="288" w:lineRule="auto"/>
      <w:ind w:firstLine="567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Абзац списка1"/>
    <w:basedOn w:val="a"/>
    <w:qFormat/>
    <w:pPr>
      <w:ind w:left="720"/>
      <w:contextualSpacing/>
    </w:pPr>
    <w:rPr>
      <w:rFonts w:eastAsia="Times New Roman"/>
    </w:rPr>
  </w:style>
  <w:style w:type="paragraph" w:customStyle="1" w:styleId="Iauiue">
    <w:name w:val="Iau?iue"/>
    <w:qFormat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f3">
    <w:name w:val="endnote tex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4">
    <w:name w:val="footnote tex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13">
    <w:name w:val="1"/>
    <w:basedOn w:val="a"/>
    <w:qFormat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5">
    <w:name w:val="Знак Знак Знак Знак Знак Знак"/>
    <w:basedOn w:val="a"/>
    <w:qFormat/>
    <w:pPr>
      <w:spacing w:before="280" w:after="28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ff6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f7">
    <w:name w:val="annotation subject"/>
    <w:basedOn w:val="aff6"/>
    <w:next w:val="aff6"/>
    <w:qFormat/>
    <w:rPr>
      <w:b/>
      <w:bCs/>
    </w:rPr>
  </w:style>
  <w:style w:type="paragraph" w:customStyle="1" w:styleId="Style6">
    <w:name w:val="Style6"/>
    <w:basedOn w:val="a"/>
    <w:qFormat/>
    <w:pPr>
      <w:widowControl w:val="0"/>
      <w:spacing w:after="0" w:line="484" w:lineRule="exact"/>
      <w:ind w:firstLine="71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8">
    <w:name w:val="Содержимое таблицы"/>
    <w:basedOn w:val="a"/>
    <w:qFormat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"/>
    <w:qFormat/>
  </w:style>
  <w:style w:type="numbering" w:customStyle="1" w:styleId="WW8Num1">
    <w:name w:val="WW8Num1"/>
    <w:qFormat/>
  </w:style>
  <w:style w:type="paragraph" w:customStyle="1" w:styleId="Default">
    <w:name w:val="Default"/>
    <w:rsid w:val="00043E67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tarstan.ru/regulation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nkama.ru" TargetMode="External"/><Relationship Id="rId12" Type="http://schemas.openxmlformats.org/officeDocument/2006/relationships/hyperlink" Target="http://www.e-nizhnekamsk.ru/documents/469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10</Pages>
  <Words>3373</Words>
  <Characters>19230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Наталья</dc:creator>
  <dc:description/>
  <cp:lastModifiedBy>User</cp:lastModifiedBy>
  <cp:revision>12</cp:revision>
  <cp:lastPrinted>2024-03-29T05:43:00Z</cp:lastPrinted>
  <dcterms:created xsi:type="dcterms:W3CDTF">2024-03-29T05:46:00Z</dcterms:created>
  <dcterms:modified xsi:type="dcterms:W3CDTF">2024-04-03T05:14:00Z</dcterms:modified>
  <dc:language>ru-RU</dc:language>
</cp:coreProperties>
</file>